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CDBC8">
      <w:pPr>
        <w:ind w:firstLine="1760" w:firstLineChars="400"/>
        <w:rPr>
          <w:rFonts w:hint="eastAsia" w:ascii="黑体" w:hAnsi="黑体" w:eastAsia="黑体" w:cs="黑体"/>
          <w:color w:val="000000"/>
          <w:sz w:val="44"/>
          <w:szCs w:val="44"/>
          <w:shd w:val="clear" w:color="auto" w:fill="FFFFFF"/>
          <w:lang w:val="en-US" w:eastAsia="zh-CN"/>
        </w:rPr>
      </w:pPr>
      <w:bookmarkStart w:id="1" w:name="_GoBack"/>
      <w:bookmarkEnd w:id="1"/>
      <w:bookmarkStart w:id="0" w:name="_Hlk177714551"/>
      <w:r>
        <w:rPr>
          <w:rFonts w:hint="eastAsia" w:ascii="黑体" w:hAnsi="黑体" w:eastAsia="黑体" w:cs="黑体"/>
          <w:color w:val="000000"/>
          <w:sz w:val="44"/>
          <w:szCs w:val="44"/>
          <w:shd w:val="clear" w:color="auto" w:fill="FFFFFF"/>
          <w:lang w:val="en-US" w:eastAsia="zh-CN"/>
        </w:rPr>
        <w:t>2023年绩效情况说明</w:t>
      </w:r>
    </w:p>
    <w:p w14:paraId="2D6AF3E1">
      <w:pPr>
        <w:ind w:firstLine="720" w:firstLineChars="200"/>
        <w:rPr>
          <w:rFonts w:hint="eastAsia" w:ascii="Times New Roman" w:hAnsi="Times New Roman" w:eastAsia="仿宋"/>
          <w:color w:val="000000"/>
          <w:sz w:val="36"/>
          <w:szCs w:val="36"/>
          <w:shd w:val="clear" w:color="auto" w:fill="FFFFFF"/>
        </w:rPr>
      </w:pPr>
    </w:p>
    <w:p w14:paraId="064B2B33">
      <w:pPr>
        <w:ind w:firstLine="720" w:firstLineChars="200"/>
        <w:rPr>
          <w:rFonts w:ascii="仿宋" w:hAnsi="仿宋" w:eastAsia="仿宋"/>
          <w:color w:val="000000"/>
          <w:sz w:val="36"/>
          <w:szCs w:val="36"/>
          <w:shd w:val="clear" w:color="auto" w:fill="FFFFFF"/>
        </w:rPr>
      </w:pPr>
      <w:r>
        <w:rPr>
          <w:rFonts w:hint="eastAsia" w:ascii="Times New Roman" w:hAnsi="Times New Roman" w:eastAsia="仿宋"/>
          <w:color w:val="000000"/>
          <w:sz w:val="36"/>
          <w:szCs w:val="36"/>
          <w:shd w:val="clear" w:color="auto" w:fill="FFFFFF"/>
        </w:rPr>
        <w:t>一、</w:t>
      </w:r>
      <w:r>
        <w:rPr>
          <w:rFonts w:ascii="Times New Roman" w:hAnsi="Times New Roman" w:eastAsia="仿宋"/>
          <w:color w:val="000000"/>
          <w:sz w:val="36"/>
          <w:szCs w:val="36"/>
          <w:shd w:val="clear" w:color="auto" w:fill="FFFFFF"/>
        </w:rPr>
        <w:t>2023</w:t>
      </w:r>
      <w:r>
        <w:rPr>
          <w:rFonts w:hint="eastAsia" w:ascii="仿宋" w:hAnsi="仿宋" w:eastAsia="仿宋"/>
          <w:color w:val="000000"/>
          <w:sz w:val="36"/>
          <w:szCs w:val="36"/>
          <w:shd w:val="clear" w:color="auto" w:fill="FFFFFF"/>
        </w:rPr>
        <w:t>年，预算绩效管理工作依托预算一体化系统对各预算部门、单位提交的项目绩效目标填报工作进行审核指导，截止到12月末，预算绩效管理服务中心审核申报的二级项目绩效数量达5774个，终审通过并储备的二级项目数量达5756个。</w:t>
      </w:r>
    </w:p>
    <w:p w14:paraId="0CC505D8">
      <w:pPr>
        <w:ind w:firstLine="720" w:firstLineChars="200"/>
        <w:rPr>
          <w:rFonts w:ascii="仿宋" w:hAnsi="仿宋" w:eastAsia="仿宋"/>
          <w:color w:val="000000"/>
          <w:sz w:val="36"/>
          <w:szCs w:val="36"/>
          <w:shd w:val="clear" w:color="auto" w:fill="FFFFFF"/>
        </w:rPr>
      </w:pPr>
      <w:r>
        <w:rPr>
          <w:rFonts w:hint="eastAsia" w:ascii="仿宋" w:hAnsi="仿宋" w:eastAsia="仿宋"/>
          <w:color w:val="000000"/>
          <w:sz w:val="36"/>
          <w:szCs w:val="36"/>
          <w:shd w:val="clear" w:color="auto" w:fill="FFFFFF"/>
        </w:rPr>
        <w:t>二、审核2023年度新增预算预计总支出不低于5000万元的重大决策和项目开展预算事前绩效评估工作。</w:t>
      </w:r>
    </w:p>
    <w:p w14:paraId="7D7DD96D">
      <w:pPr>
        <w:ind w:firstLine="720" w:firstLineChars="200"/>
        <w:rPr>
          <w:rFonts w:ascii="仿宋" w:hAnsi="仿宋" w:eastAsia="仿宋"/>
          <w:color w:val="000000"/>
          <w:sz w:val="36"/>
          <w:szCs w:val="36"/>
          <w:shd w:val="clear" w:color="auto" w:fill="FFFFFF"/>
        </w:rPr>
      </w:pPr>
      <w:r>
        <w:rPr>
          <w:rFonts w:hint="eastAsia" w:ascii="仿宋" w:hAnsi="仿宋" w:eastAsia="仿宋"/>
          <w:color w:val="000000"/>
          <w:sz w:val="36"/>
          <w:szCs w:val="36"/>
          <w:shd w:val="clear" w:color="auto" w:fill="FFFFFF"/>
        </w:rPr>
        <w:t>三、对2022年度申请的县本级预算项目资金开展项目支出绩效自评并对主管部门开展了部门评价。</w:t>
      </w:r>
    </w:p>
    <w:p w14:paraId="600B2002">
      <w:pPr>
        <w:ind w:firstLine="720" w:firstLineChars="200"/>
        <w:rPr>
          <w:rFonts w:ascii="仿宋" w:hAnsi="仿宋" w:eastAsia="仿宋"/>
          <w:color w:val="000000"/>
          <w:sz w:val="36"/>
          <w:szCs w:val="36"/>
          <w:shd w:val="clear" w:color="auto" w:fill="FFFFFF"/>
        </w:rPr>
      </w:pPr>
      <w:r>
        <w:rPr>
          <w:rFonts w:hint="eastAsia" w:ascii="仿宋" w:hAnsi="仿宋" w:eastAsia="仿宋"/>
          <w:color w:val="000000"/>
          <w:sz w:val="36"/>
          <w:szCs w:val="36"/>
          <w:shd w:val="clear" w:color="auto" w:fill="FFFFFF"/>
        </w:rPr>
        <w:t>四、审核各预算</w:t>
      </w:r>
      <w:r>
        <w:rPr>
          <w:rFonts w:hint="eastAsia" w:ascii="仿宋" w:hAnsi="仿宋" w:eastAsia="仿宋"/>
          <w:color w:val="000000"/>
          <w:sz w:val="36"/>
          <w:szCs w:val="36"/>
          <w:shd w:val="clear" w:color="auto" w:fill="FFFFFF"/>
          <w:lang w:val="en-US" w:eastAsia="zh-CN"/>
        </w:rPr>
        <w:t>一</w:t>
      </w:r>
      <w:r>
        <w:rPr>
          <w:rFonts w:hint="eastAsia" w:ascii="仿宋" w:hAnsi="仿宋" w:eastAsia="仿宋"/>
          <w:color w:val="000000"/>
          <w:sz w:val="36"/>
          <w:szCs w:val="36"/>
          <w:shd w:val="clear" w:color="auto" w:fill="FFFFFF"/>
        </w:rPr>
        <w:t>级单位共85家提交的部门整体绩效自评，促使部门从整体上提升预算管理水平。</w:t>
      </w:r>
    </w:p>
    <w:p w14:paraId="25D7DED8">
      <w:pPr>
        <w:ind w:firstLine="720" w:firstLineChars="200"/>
        <w:rPr>
          <w:rFonts w:ascii="仿宋" w:hAnsi="仿宋" w:eastAsia="仿宋"/>
          <w:color w:val="000000"/>
          <w:sz w:val="36"/>
          <w:szCs w:val="36"/>
          <w:shd w:val="clear" w:color="auto" w:fill="FFFFFF"/>
        </w:rPr>
      </w:pPr>
      <w:r>
        <w:rPr>
          <w:rFonts w:hint="eastAsia" w:ascii="仿宋" w:hAnsi="仿宋" w:eastAsia="仿宋"/>
          <w:color w:val="000000"/>
          <w:sz w:val="36"/>
          <w:szCs w:val="36"/>
          <w:shd w:val="clear" w:color="auto" w:fill="FFFFFF"/>
        </w:rPr>
        <w:t>五、对2023年度部门整体绩效目标进行审核，共计85个。</w:t>
      </w:r>
    </w:p>
    <w:p w14:paraId="658CD072">
      <w:pPr>
        <w:ind w:firstLine="720" w:firstLineChars="200"/>
        <w:rPr>
          <w:rFonts w:ascii="仿宋" w:hAnsi="仿宋" w:eastAsia="仿宋"/>
          <w:color w:val="000000"/>
          <w:sz w:val="36"/>
          <w:szCs w:val="36"/>
          <w:shd w:val="clear" w:color="auto" w:fill="FFFFFF"/>
        </w:rPr>
      </w:pPr>
      <w:r>
        <w:rPr>
          <w:rFonts w:hint="eastAsia" w:ascii="仿宋" w:hAnsi="仿宋" w:eastAsia="仿宋"/>
          <w:color w:val="000000"/>
          <w:sz w:val="36"/>
          <w:szCs w:val="36"/>
          <w:shd w:val="clear" w:color="auto" w:fill="FFFFFF"/>
        </w:rPr>
        <w:t>六、对2023年部门预算支出开展期中绩效监控，对绩效目标完成情况和预算资金执行情况实施绩效监控，增强预算单位绩效主体责任和绩效监控意识。</w:t>
      </w:r>
    </w:p>
    <w:p w14:paraId="6625864B">
      <w:pPr>
        <w:ind w:firstLine="720" w:firstLineChars="200"/>
        <w:rPr>
          <w:rFonts w:ascii="仿宋" w:hAnsi="仿宋" w:eastAsia="仿宋"/>
          <w:color w:val="000000"/>
          <w:sz w:val="36"/>
          <w:szCs w:val="36"/>
          <w:shd w:val="clear" w:color="auto" w:fill="FFFFFF"/>
        </w:rPr>
      </w:pPr>
      <w:r>
        <w:rPr>
          <w:rFonts w:hint="eastAsia" w:ascii="仿宋" w:hAnsi="仿宋" w:eastAsia="仿宋"/>
          <w:color w:val="000000"/>
          <w:sz w:val="36"/>
          <w:szCs w:val="36"/>
          <w:shd w:val="clear" w:color="auto" w:fill="FFFFFF"/>
        </w:rPr>
        <w:t>七、委托第三方通过科学、合理的评价方法对2022年度财政衔接资金及整合资金开展重点绩效评价（2</w:t>
      </w:r>
      <w:r>
        <w:rPr>
          <w:rFonts w:ascii="仿宋" w:hAnsi="仿宋" w:eastAsia="仿宋"/>
          <w:color w:val="000000"/>
          <w:sz w:val="36"/>
          <w:szCs w:val="36"/>
          <w:shd w:val="clear" w:color="auto" w:fill="FFFFFF"/>
        </w:rPr>
        <w:t>7</w:t>
      </w:r>
      <w:r>
        <w:rPr>
          <w:rFonts w:hint="eastAsia" w:ascii="仿宋" w:hAnsi="仿宋" w:eastAsia="仿宋"/>
          <w:color w:val="000000"/>
          <w:sz w:val="36"/>
          <w:szCs w:val="36"/>
          <w:shd w:val="clear" w:color="auto" w:fill="FFFFFF"/>
        </w:rPr>
        <w:t>个）并对7个项目开展自评抽查工作，对202</w:t>
      </w:r>
      <w:r>
        <w:rPr>
          <w:rFonts w:ascii="仿宋" w:hAnsi="仿宋" w:eastAsia="仿宋"/>
          <w:color w:val="000000"/>
          <w:sz w:val="36"/>
          <w:szCs w:val="36"/>
          <w:shd w:val="clear" w:color="auto" w:fill="FFFFFF"/>
        </w:rPr>
        <w:t>3</w:t>
      </w:r>
      <w:r>
        <w:rPr>
          <w:rFonts w:hint="eastAsia" w:ascii="仿宋" w:hAnsi="仿宋" w:eastAsia="仿宋"/>
          <w:color w:val="000000"/>
          <w:sz w:val="36"/>
          <w:szCs w:val="36"/>
          <w:shd w:val="clear" w:color="auto" w:fill="FFFFFF"/>
        </w:rPr>
        <w:t>年度财政衔接资金及整合资金开展重点绩效评价（</w:t>
      </w:r>
      <w:r>
        <w:rPr>
          <w:rFonts w:ascii="仿宋" w:hAnsi="仿宋" w:eastAsia="仿宋"/>
          <w:color w:val="000000"/>
          <w:sz w:val="36"/>
          <w:szCs w:val="36"/>
          <w:shd w:val="clear" w:color="auto" w:fill="FFFFFF"/>
        </w:rPr>
        <w:t>6</w:t>
      </w:r>
      <w:r>
        <w:rPr>
          <w:rFonts w:hint="eastAsia" w:ascii="仿宋" w:hAnsi="仿宋" w:eastAsia="仿宋"/>
          <w:color w:val="000000"/>
          <w:sz w:val="36"/>
          <w:szCs w:val="36"/>
          <w:shd w:val="clear" w:color="auto" w:fill="FFFFFF"/>
        </w:rPr>
        <w:t>个），对于评价结果为“优”、“良”的项目，建议继续支持；评价结果为“一般”的项目，建议予以支持或部分支持。强化财政绩效管理，全面提升资金使用效益。具体如下：</w:t>
      </w:r>
    </w:p>
    <w:bookmarkEnd w:id="0"/>
    <w:p w14:paraId="489DE621">
      <w:pPr>
        <w:ind w:firstLine="720" w:firstLineChars="200"/>
        <w:rPr>
          <w:rFonts w:ascii="仿宋" w:hAnsi="仿宋" w:eastAsia="仿宋"/>
          <w:color w:val="000000"/>
          <w:sz w:val="36"/>
          <w:szCs w:val="36"/>
          <w:shd w:val="clear" w:color="auto" w:fill="FFFFFF"/>
        </w:rPr>
      </w:pPr>
    </w:p>
    <w:p w14:paraId="6C9255A1">
      <w:pPr>
        <w:ind w:firstLine="420" w:firstLineChars="200"/>
        <w:jc w:val="center"/>
      </w:pPr>
    </w:p>
    <w:p w14:paraId="44EBF2EE">
      <w:pPr>
        <w:ind w:firstLine="420" w:firstLineChars="200"/>
        <w:jc w:val="center"/>
      </w:pPr>
    </w:p>
    <w:p w14:paraId="2AD36E9A">
      <w:pPr>
        <w:ind w:firstLine="420" w:firstLineChars="200"/>
        <w:jc w:val="center"/>
      </w:pPr>
    </w:p>
    <w:p w14:paraId="0C46D121">
      <w:pPr>
        <w:ind w:firstLine="720" w:firstLineChars="200"/>
        <w:jc w:val="center"/>
        <w:rPr>
          <w:sz w:val="36"/>
          <w:szCs w:val="40"/>
        </w:rPr>
      </w:pPr>
      <w:r>
        <w:rPr>
          <w:rFonts w:hint="eastAsia"/>
          <w:sz w:val="36"/>
          <w:szCs w:val="40"/>
        </w:rPr>
        <w:t>重点绩效评价2</w:t>
      </w:r>
      <w:r>
        <w:rPr>
          <w:sz w:val="36"/>
          <w:szCs w:val="40"/>
        </w:rPr>
        <w:t>022</w:t>
      </w:r>
      <w:r>
        <w:rPr>
          <w:rFonts w:hint="eastAsia"/>
          <w:sz w:val="36"/>
          <w:szCs w:val="40"/>
        </w:rPr>
        <w:t>年度结果得分表</w:t>
      </w:r>
    </w:p>
    <w:p w14:paraId="13D1A7E6">
      <w:pPr>
        <w:spacing w:line="60" w:lineRule="auto"/>
      </w:pPr>
      <w:r>
        <w:drawing>
          <wp:inline distT="0" distB="0" distL="0" distR="0">
            <wp:extent cx="5248275" cy="4581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5248275" cy="4581525"/>
                    </a:xfrm>
                    <a:prstGeom prst="rect">
                      <a:avLst/>
                    </a:prstGeom>
                    <a:noFill/>
                    <a:ln>
                      <a:noFill/>
                    </a:ln>
                  </pic:spPr>
                </pic:pic>
              </a:graphicData>
            </a:graphic>
          </wp:inline>
        </w:drawing>
      </w:r>
    </w:p>
    <w:p w14:paraId="6D22CBEA">
      <w:pPr>
        <w:spacing w:line="60" w:lineRule="auto"/>
      </w:pPr>
      <w:r>
        <w:drawing>
          <wp:inline distT="0" distB="0" distL="0" distR="0">
            <wp:extent cx="5257800" cy="5715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257800" cy="571500"/>
                    </a:xfrm>
                    <a:prstGeom prst="rect">
                      <a:avLst/>
                    </a:prstGeom>
                    <a:noFill/>
                    <a:ln>
                      <a:noFill/>
                    </a:ln>
                  </pic:spPr>
                </pic:pic>
              </a:graphicData>
            </a:graphic>
          </wp:inline>
        </w:drawing>
      </w:r>
    </w:p>
    <w:p w14:paraId="6AF5B409">
      <w:pPr>
        <w:spacing w:line="60" w:lineRule="auto"/>
      </w:pPr>
    </w:p>
    <w:p w14:paraId="6F08A9FD">
      <w:pPr>
        <w:spacing w:line="60" w:lineRule="auto"/>
      </w:pPr>
    </w:p>
    <w:p w14:paraId="3A6E3E54">
      <w:pPr>
        <w:spacing w:line="60" w:lineRule="auto"/>
      </w:pPr>
    </w:p>
    <w:p w14:paraId="3259FA41">
      <w:pPr>
        <w:spacing w:line="60" w:lineRule="auto"/>
      </w:pPr>
    </w:p>
    <w:p w14:paraId="4D2F7263">
      <w:pPr>
        <w:spacing w:line="60" w:lineRule="auto"/>
        <w:rPr>
          <w:rFonts w:hint="eastAsia"/>
        </w:rPr>
      </w:pPr>
    </w:p>
    <w:p w14:paraId="30440F2A">
      <w:pPr>
        <w:spacing w:line="60" w:lineRule="auto"/>
        <w:jc w:val="center"/>
        <w:rPr>
          <w:sz w:val="36"/>
          <w:szCs w:val="40"/>
        </w:rPr>
      </w:pPr>
      <w:r>
        <w:rPr>
          <w:rFonts w:hint="eastAsia"/>
          <w:sz w:val="36"/>
          <w:szCs w:val="40"/>
        </w:rPr>
        <w:t>绩效自评抽查2</w:t>
      </w:r>
      <w:r>
        <w:rPr>
          <w:sz w:val="36"/>
          <w:szCs w:val="40"/>
        </w:rPr>
        <w:t>022</w:t>
      </w:r>
      <w:r>
        <w:rPr>
          <w:rFonts w:hint="eastAsia"/>
          <w:sz w:val="36"/>
          <w:szCs w:val="40"/>
        </w:rPr>
        <w:t>年度情况得分表</w:t>
      </w:r>
    </w:p>
    <w:p w14:paraId="3E0697DF">
      <w:pPr>
        <w:spacing w:line="60" w:lineRule="auto"/>
        <w:jc w:val="center"/>
      </w:pPr>
      <w:r>
        <w:drawing>
          <wp:inline distT="0" distB="0" distL="0" distR="0">
            <wp:extent cx="5276850" cy="27241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276850" cy="2724150"/>
                    </a:xfrm>
                    <a:prstGeom prst="rect">
                      <a:avLst/>
                    </a:prstGeom>
                    <a:noFill/>
                    <a:ln>
                      <a:noFill/>
                    </a:ln>
                  </pic:spPr>
                </pic:pic>
              </a:graphicData>
            </a:graphic>
          </wp:inline>
        </w:drawing>
      </w:r>
    </w:p>
    <w:p w14:paraId="1DFD2925">
      <w:pPr>
        <w:spacing w:line="60" w:lineRule="auto"/>
        <w:jc w:val="center"/>
      </w:pPr>
    </w:p>
    <w:p w14:paraId="14202FD5">
      <w:pPr>
        <w:spacing w:line="60" w:lineRule="auto"/>
        <w:jc w:val="center"/>
        <w:rPr>
          <w:sz w:val="36"/>
          <w:szCs w:val="40"/>
        </w:rPr>
      </w:pPr>
    </w:p>
    <w:tbl>
      <w:tblPr>
        <w:tblStyle w:val="2"/>
        <w:tblW w:w="845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9"/>
        <w:gridCol w:w="7763"/>
      </w:tblGrid>
      <w:tr w14:paraId="4D1F2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8452" w:type="dxa"/>
            <w:gridSpan w:val="2"/>
            <w:tcBorders>
              <w:top w:val="nil"/>
              <w:left w:val="nil"/>
              <w:bottom w:val="nil"/>
              <w:right w:val="nil"/>
            </w:tcBorders>
            <w:shd w:val="clear" w:color="auto" w:fill="auto"/>
            <w:noWrap/>
            <w:vAlign w:val="center"/>
          </w:tcPr>
          <w:p w14:paraId="22BC41A5">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重点项目重点区域资金绩效评价清单</w:t>
            </w:r>
          </w:p>
        </w:tc>
      </w:tr>
      <w:tr w14:paraId="7BA5E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9F3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7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5B3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r>
      <w:tr w14:paraId="58BAD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BA3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A79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通榆县2022年农村厕所改造项目</w:t>
            </w:r>
          </w:p>
        </w:tc>
      </w:tr>
      <w:tr w14:paraId="6862D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C19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C1A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通榆县2021年标准化肉牛养殖园区建设项目</w:t>
            </w:r>
          </w:p>
        </w:tc>
      </w:tr>
      <w:tr w14:paraId="7D9DD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E10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691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通榆县边昭镇五井子村现代化大棚建设项目</w:t>
            </w:r>
          </w:p>
        </w:tc>
      </w:tr>
      <w:tr w14:paraId="445C2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587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344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通榆县2022年标准化肉牛养殖园区建设项目</w:t>
            </w:r>
          </w:p>
        </w:tc>
      </w:tr>
      <w:tr w14:paraId="38BF6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98F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FF1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通榆县标准化肉牛养殖园区饲草基地配套设施建设项目</w:t>
            </w:r>
          </w:p>
        </w:tc>
      </w:tr>
    </w:tbl>
    <w:p w14:paraId="1F1FE9C2">
      <w:pPr>
        <w:spacing w:line="60" w:lineRule="auto"/>
        <w:jc w:val="left"/>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kY2UxYWQ5MmJmOGE0YTQ4M2E1NDFhM2RjMzgyOTIifQ=="/>
  </w:docVars>
  <w:rsids>
    <w:rsidRoot w:val="00D5305A"/>
    <w:rsid w:val="00077740"/>
    <w:rsid w:val="001F7B05"/>
    <w:rsid w:val="00251E38"/>
    <w:rsid w:val="007C73E0"/>
    <w:rsid w:val="00841846"/>
    <w:rsid w:val="008C02B2"/>
    <w:rsid w:val="00D5305A"/>
    <w:rsid w:val="00E612F0"/>
    <w:rsid w:val="00F545A1"/>
    <w:rsid w:val="00F776F3"/>
    <w:rsid w:val="13EA1DCD"/>
    <w:rsid w:val="15015A4D"/>
    <w:rsid w:val="235B68DE"/>
    <w:rsid w:val="270020B6"/>
    <w:rsid w:val="28277120"/>
    <w:rsid w:val="2C913A34"/>
    <w:rsid w:val="2F401FD9"/>
    <w:rsid w:val="30FE3F03"/>
    <w:rsid w:val="408847A8"/>
    <w:rsid w:val="5EE412EC"/>
    <w:rsid w:val="65F356D5"/>
    <w:rsid w:val="679A1205"/>
    <w:rsid w:val="71A04625"/>
    <w:rsid w:val="73A82490"/>
    <w:rsid w:val="78A23952"/>
    <w:rsid w:val="79825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631</Words>
  <Characters>680</Characters>
  <Lines>4</Lines>
  <Paragraphs>1</Paragraphs>
  <TotalTime>2</TotalTime>
  <ScaleCrop>false</ScaleCrop>
  <LinksUpToDate>false</LinksUpToDate>
  <CharactersWithSpaces>680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2024-09-23T00:42:00Z</dcterms:created>
  <dc:creator>Administrator</dc:creator>
  <cp:lastModifiedBy>川</cp:lastModifiedBy>
  <cp:lastPrinted>2024-09-20T01:00:00Z</cp:lastPrinted>
  <dcterms:modified xsi:type="dcterms:W3CDTF">2024-09-14T05:17:05Z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784662562C2E449FB57487C55F749329_13</vt:lpwstr>
  </property>
</Properties>
</file>